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木垒哈萨克自治县雀仁乡卫生院</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承担区域居民的预防、医疗和保健任务，区域内传染病、职业病和非传染性慢性病的防控，区域内人群的健康教育工作，强化区域内医疗救治体系，有效应对各种</w:t>
      </w:r>
      <w:r>
        <w:rPr>
          <w:rFonts w:hint="eastAsia" w:ascii="仿宋_GB2312" w:eastAsia="仿宋_GB2312"/>
          <w:sz w:val="32"/>
          <w:szCs w:val="32"/>
          <w:lang w:eastAsia="zh-CN"/>
        </w:rPr>
        <w:t>突发公共卫生事件</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常见病多发病护理，恢复期病人康复治疗与护理;预防保健;卫生技术人员培训;初级卫生保健规划实施;合作医疗组织与管理;卫生监督与卫生信息管理。</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木垒哈萨克自治县雀仁乡卫生院2023年度，实有人数</w:t>
      </w:r>
      <w:r>
        <w:rPr>
          <w:rFonts w:hint="eastAsia" w:ascii="仿宋_GB2312" w:eastAsia="仿宋_GB2312"/>
          <w:sz w:val="32"/>
          <w:szCs w:val="32"/>
          <w:lang w:val="zh-CN"/>
        </w:rPr>
        <w:t>21</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办公室、公卫科、防疫室、妇幼室、财务室、门诊科室、中医理疗室。</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2023年度收入总计393.54万元，其中：本年收入合计393.54万元，使用非财政拨款结余0.00万元，年初结转和结余0.00万元。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2023年度支出总计393.54万元，其中：本年支出合计393.54万元，结余分配0.00万元，年末结转和结余0.00万元。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增加74.34万元</w:t>
      </w:r>
      <w:r>
        <w:rPr>
          <w:rFonts w:hint="eastAsia" w:ascii="仿宋_GB2312" w:eastAsia="仿宋_GB2312"/>
          <w:sz w:val="32"/>
          <w:szCs w:val="32"/>
        </w:rPr>
        <w:t>，增长23.29%，主要原因是：本年增加中央重大传染病防控经费、自治区财政公共卫生服务补助资金等项目经费。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本年收入393.54万元，其中：财政拨款收入</w:t>
      </w:r>
      <w:r>
        <w:rPr>
          <w:rFonts w:hint="eastAsia" w:ascii="仿宋_GB2312" w:eastAsia="仿宋_GB2312"/>
          <w:sz w:val="32"/>
          <w:szCs w:val="32"/>
          <w:lang w:val="zh-CN"/>
        </w:rPr>
        <w:t>337.65</w:t>
      </w:r>
      <w:r>
        <w:rPr>
          <w:rFonts w:hint="eastAsia" w:ascii="仿宋_GB2312" w:eastAsia="仿宋_GB2312"/>
          <w:sz w:val="32"/>
          <w:szCs w:val="32"/>
        </w:rPr>
        <w:t>万元，占</w:t>
      </w:r>
      <w:r>
        <w:rPr>
          <w:rFonts w:hint="eastAsia" w:ascii="仿宋_GB2312" w:eastAsia="仿宋_GB2312"/>
          <w:sz w:val="32"/>
          <w:szCs w:val="32"/>
          <w:lang w:val="zh-CN"/>
        </w:rPr>
        <w:t>85.80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55.89</w:t>
      </w:r>
      <w:r>
        <w:rPr>
          <w:rFonts w:hint="eastAsia" w:ascii="仿宋_GB2312" w:eastAsia="仿宋_GB2312"/>
          <w:sz w:val="32"/>
          <w:szCs w:val="32"/>
        </w:rPr>
        <w:t>万元，占</w:t>
      </w:r>
      <w:r>
        <w:rPr>
          <w:rFonts w:hint="eastAsia" w:ascii="仿宋_GB2312" w:eastAsia="仿宋_GB2312"/>
          <w:sz w:val="32"/>
          <w:szCs w:val="32"/>
          <w:lang w:val="zh-CN"/>
        </w:rPr>
        <w:t>14.20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本年支出393.54万元，其中：基本支出321.38万元，占81.66%；项目支出72.16万元，占18.34%；上缴上级支出0.00万元，占0.00%；经营支出0.00万元，占0.00%；对附属单位补助支出0.00万元，占0.00%。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337.65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337.65</w:t>
      </w:r>
      <w:r>
        <w:rPr>
          <w:rFonts w:hint="eastAsia" w:ascii="仿宋_GB2312" w:eastAsia="仿宋_GB2312"/>
          <w:sz w:val="32"/>
          <w:szCs w:val="32"/>
        </w:rPr>
        <w:t>万元。财政拨款支出总计</w:t>
      </w:r>
      <w:r>
        <w:rPr>
          <w:rFonts w:hint="eastAsia" w:ascii="仿宋_GB2312" w:eastAsia="仿宋_GB2312"/>
          <w:sz w:val="32"/>
          <w:szCs w:val="32"/>
          <w:lang w:val="zh-CN"/>
        </w:rPr>
        <w:t>337.65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337.65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增加34.51万元</w:t>
      </w:r>
      <w:r>
        <w:rPr>
          <w:rFonts w:hint="eastAsia" w:ascii="仿宋_GB2312" w:eastAsia="仿宋_GB2312"/>
          <w:sz w:val="32"/>
          <w:szCs w:val="32"/>
        </w:rPr>
        <w:t>，增长11.38%,主要原因是：本年增加中央重大传染病防控经费、自治区财政公共卫生服务补助资金等项目经费。与年初预算相比，年初预算数</w:t>
      </w:r>
      <w:r>
        <w:rPr>
          <w:rFonts w:hint="eastAsia" w:ascii="仿宋_GB2312" w:eastAsia="仿宋_GB2312"/>
          <w:sz w:val="32"/>
          <w:szCs w:val="32"/>
          <w:lang w:val="zh-CN"/>
        </w:rPr>
        <w:t>236.51</w:t>
      </w:r>
      <w:r>
        <w:rPr>
          <w:rFonts w:hint="eastAsia" w:ascii="仿宋_GB2312" w:eastAsia="仿宋_GB2312"/>
          <w:sz w:val="32"/>
          <w:szCs w:val="32"/>
        </w:rPr>
        <w:t>万元，决算数</w:t>
      </w:r>
      <w:r>
        <w:rPr>
          <w:rFonts w:hint="eastAsia" w:ascii="仿宋_GB2312" w:eastAsia="仿宋_GB2312"/>
          <w:sz w:val="32"/>
          <w:szCs w:val="32"/>
          <w:lang w:val="zh-CN"/>
        </w:rPr>
        <w:t>337.65</w:t>
      </w:r>
      <w:r>
        <w:rPr>
          <w:rFonts w:hint="eastAsia" w:ascii="仿宋_GB2312" w:eastAsia="仿宋_GB2312"/>
          <w:sz w:val="32"/>
          <w:szCs w:val="32"/>
        </w:rPr>
        <w:t>万元，预决算差异率42.76%，主要原因是：年中追加中央重大传染病防控经费、自治区财政公共卫生服务补助资金等项目经费。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2023年度一般公共预算财政拨款支出337.31万元，占本年支出合计的</w:t>
      </w:r>
      <w:r>
        <w:rPr>
          <w:rFonts w:hint="eastAsia" w:ascii="仿宋_GB2312" w:eastAsia="仿宋_GB2312"/>
          <w:sz w:val="32"/>
          <w:szCs w:val="32"/>
          <w:lang w:val="zh-CN"/>
        </w:rPr>
        <w:t>85.71%</w:t>
      </w:r>
      <w:r>
        <w:rPr>
          <w:rFonts w:hint="eastAsia" w:ascii="仿宋_GB2312" w:eastAsia="仿宋_GB2312"/>
          <w:sz w:val="32"/>
          <w:szCs w:val="32"/>
        </w:rPr>
        <w:t>。与上年相比，</w:t>
      </w:r>
      <w:r>
        <w:rPr>
          <w:rFonts w:hint="eastAsia" w:ascii="仿宋_GB2312" w:eastAsia="仿宋_GB2312"/>
          <w:sz w:val="32"/>
          <w:szCs w:val="32"/>
          <w:lang w:val="zh-CN"/>
        </w:rPr>
        <w:t>增加34.17万元</w:t>
      </w:r>
      <w:r>
        <w:rPr>
          <w:rFonts w:hint="eastAsia" w:ascii="仿宋_GB2312" w:eastAsia="仿宋_GB2312"/>
          <w:sz w:val="32"/>
          <w:szCs w:val="32"/>
        </w:rPr>
        <w:t>，增长11.27%,主要原因是：本年增加中央重大传染病防控经费、自治区财政公共卫生服务补助资金等项目经费。与年初预算相比，年初预算数</w:t>
      </w:r>
      <w:r>
        <w:rPr>
          <w:rFonts w:hint="eastAsia" w:ascii="仿宋_GB2312" w:eastAsia="仿宋_GB2312"/>
          <w:sz w:val="32"/>
          <w:szCs w:val="32"/>
          <w:lang w:val="zh-CN"/>
        </w:rPr>
        <w:t>236.51</w:t>
      </w:r>
      <w:r>
        <w:rPr>
          <w:rFonts w:hint="eastAsia" w:ascii="仿宋_GB2312" w:eastAsia="仿宋_GB2312"/>
          <w:sz w:val="32"/>
          <w:szCs w:val="32"/>
        </w:rPr>
        <w:t>万元，决算数</w:t>
      </w:r>
      <w:r>
        <w:rPr>
          <w:rFonts w:hint="eastAsia" w:ascii="仿宋_GB2312" w:eastAsia="仿宋_GB2312"/>
          <w:sz w:val="32"/>
          <w:szCs w:val="32"/>
          <w:lang w:val="zh-CN"/>
        </w:rPr>
        <w:t>337.31</w:t>
      </w:r>
      <w:r>
        <w:rPr>
          <w:rFonts w:hint="eastAsia" w:ascii="仿宋_GB2312" w:eastAsia="仿宋_GB2312"/>
          <w:sz w:val="32"/>
          <w:szCs w:val="32"/>
        </w:rPr>
        <w:t>万元，预决算差异率</w:t>
      </w:r>
      <w:r>
        <w:rPr>
          <w:rFonts w:hint="eastAsia" w:ascii="仿宋_GB2312" w:eastAsia="仿宋_GB2312"/>
          <w:sz w:val="32"/>
          <w:szCs w:val="32"/>
          <w:lang w:val="zh-CN"/>
        </w:rPr>
        <w:t>42.62%</w:t>
      </w:r>
      <w:r>
        <w:rPr>
          <w:rFonts w:hint="eastAsia" w:ascii="仿宋_GB2312" w:eastAsia="仿宋_GB2312"/>
          <w:sz w:val="32"/>
          <w:szCs w:val="32"/>
        </w:rPr>
        <w:t>，主要原因是：年中追加中央重大传染病防控经费、自治区财政公共卫生服务补助资金等项目经费。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23.86</w:t>
      </w:r>
      <w:r>
        <w:rPr>
          <w:rFonts w:ascii="仿宋_GB2312" w:eastAsia="仿宋_GB2312"/>
          <w:kern w:val="2"/>
          <w:sz w:val="32"/>
          <w:szCs w:val="32"/>
          <w:lang w:val="zh-CN"/>
        </w:rPr>
        <w:t>万元，占</w:t>
      </w:r>
      <w:r>
        <w:rPr>
          <w:rFonts w:hint="eastAsia" w:ascii="仿宋_GB2312" w:eastAsia="仿宋_GB2312"/>
          <w:kern w:val="2"/>
          <w:sz w:val="32"/>
          <w:szCs w:val="32"/>
          <w:lang w:val="zh-CN"/>
        </w:rPr>
        <w:t>7.07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295.18</w:t>
      </w:r>
      <w:r>
        <w:rPr>
          <w:rFonts w:ascii="仿宋_GB2312" w:eastAsia="仿宋_GB2312"/>
          <w:kern w:val="2"/>
          <w:sz w:val="32"/>
          <w:szCs w:val="32"/>
          <w:lang w:val="zh-CN"/>
        </w:rPr>
        <w:t>万元，占</w:t>
      </w:r>
      <w:r>
        <w:rPr>
          <w:rFonts w:hint="eastAsia" w:ascii="仿宋_GB2312" w:eastAsia="仿宋_GB2312"/>
          <w:kern w:val="2"/>
          <w:sz w:val="32"/>
          <w:szCs w:val="32"/>
          <w:lang w:val="zh-CN"/>
        </w:rPr>
        <w:t>87.51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18.27</w:t>
      </w:r>
      <w:r>
        <w:rPr>
          <w:rFonts w:ascii="仿宋_GB2312" w:eastAsia="仿宋_GB2312"/>
          <w:kern w:val="2"/>
          <w:sz w:val="32"/>
          <w:szCs w:val="32"/>
          <w:lang w:val="zh-CN"/>
        </w:rPr>
        <w:t>万元，占</w:t>
      </w:r>
      <w:r>
        <w:rPr>
          <w:rFonts w:hint="eastAsia" w:ascii="仿宋_GB2312" w:eastAsia="仿宋_GB2312"/>
          <w:kern w:val="2"/>
          <w:sz w:val="32"/>
          <w:szCs w:val="32"/>
          <w:lang w:val="zh-CN"/>
        </w:rPr>
        <w:t>5.42</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1.卫生健康支出（类）基层医疗卫生机构（款）其他基层医疗卫生机构支出（项）:支出决算数为33.44万元，比上年决算增加26.45万元，增长378.52%，主要原因是：单位增加2023年中央财政基本药物制度补助资金。</w:t>
      </w:r>
    </w:p>
    <w:p>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2.卫生健康支出（类）公共卫生（款）突发公共卫生事件应急处理（项）:支出决算数为1.14万元，比上年决算减少4.36万元，下降79.27%，主要原因是：本年减少自治区医务人员临时性工资补贴。</w:t>
      </w:r>
    </w:p>
    <w:p>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3.卫生健康支出（类）公共卫生（款）其他公共卫生支出（项）:支出决算数为23.07万元，比上年决算增加13.77万元，增长148.25%，主要原因是：本年减少57号自治区公共卫生服务资金。</w:t>
      </w:r>
    </w:p>
    <w:p>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4.卫生健康支出（类）基层医疗卫生机构（款）乡镇卫生院（项）:支出决算数为223.36万元，比上年决算增加23.62万元，增长11.82%，主要原因是：单位人员薪资调增，人员工资、津补贴等人员经费增加。</w:t>
      </w:r>
    </w:p>
    <w:p>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5.住房保障支出（类）住房改革支出（款）住房公积金（项）:支出决算数为18.27万元，比上年决算减少0.42万元，下降2.27%，主要原因是：单位人员减少，人员住房公积金缴费减少。</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1.60万元，比上年决算增加1.01万元，增长171.19%，主要原因是：单位退休人员增加，退休人员取暖费、独生子女奖励金等增加。</w:t>
      </w:r>
    </w:p>
    <w:p>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7.卫生健康支出（类）公共卫生（款）基本公共卫生服务（项）:支出决算数为12.54万元，比上年决算减少22.96万元，下降64.67%，主要原因是：单位减少2023年机关公共卫生服务补助项目州本级补助资金。</w:t>
      </w:r>
    </w:p>
    <w:p>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8.卫生健康支出（类）公共卫生（款）重大公共卫生服务（项）:支出决算数为1.64万元，比上年决算增加0.11万元，增长7.19%，主要原因是：单位增加中央重大传染病防控经费。</w:t>
      </w:r>
    </w:p>
    <w:p>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22.26万元，比上年决算减少3.04万元，下降12.01%，主要原因是：单位人员减少，人员养老保险缴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265.49万元，其中：人员经费265.49万元，包括：基本工资、津贴补贴、奖金、机关事业单位基本养老保险缴费、职工基本医疗保险缴费、其他社会保障缴费、住房公积金、其他工资福利支出、退休费、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公用经费0.00万元，包括：</w:t>
      </w:r>
      <w:r>
        <w:rPr>
          <w:rFonts w:hint="eastAsia" w:ascii="仿宋_GB2312" w:eastAsia="仿宋_GB2312"/>
          <w:sz w:val="32"/>
          <w:szCs w:val="32"/>
          <w:lang w:val="zh-CN"/>
        </w:rPr>
        <w:t>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原因是：单位固定资产系统中有</w:t>
      </w:r>
      <w:r>
        <w:rPr>
          <w:rFonts w:ascii="仿宋_GB2312" w:eastAsia="仿宋_GB2312"/>
          <w:sz w:val="32"/>
          <w:szCs w:val="32"/>
          <w:lang w:val="zh-CN"/>
        </w:rPr>
        <w:t>3</w:t>
      </w:r>
      <w:r>
        <w:rPr>
          <w:rFonts w:hint="eastAsia" w:ascii="仿宋_GB2312" w:eastAsia="仿宋_GB2312"/>
          <w:sz w:val="32"/>
          <w:szCs w:val="32"/>
          <w:lang w:val="zh-CN"/>
        </w:rPr>
        <w:t>辆车辆，但由于财政资金紧张，实际未拨付车辆经费，所以未算保有量。</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2023年度政府性基金预算财政拨款收入总计0.34万元，其中：年初结转和结余0.00万元，本年收入0.34万元。政府性基金预算财政拨款支出总计0.34万元，其中：年末结转和结余0.00万元，本年支出0.34万元。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政府性基金预算财政拨款收入支出与上年相比，增加0.34万元,增长100.00%,</w:t>
      </w:r>
      <w:r>
        <w:rPr>
          <w:rFonts w:hint="eastAsia" w:eastAsia="仿宋_GB2312"/>
          <w:sz w:val="32"/>
          <w:szCs w:val="32"/>
          <w:lang w:val="zh-CN"/>
        </w:rPr>
        <w:t>主要原因是：</w:t>
      </w:r>
      <w:r>
        <w:rPr>
          <w:rFonts w:hint="eastAsia" w:ascii="仿宋_GB2312" w:eastAsia="仿宋_GB2312"/>
          <w:sz w:val="32"/>
          <w:szCs w:val="32"/>
          <w:lang w:val="zh-CN"/>
        </w:rPr>
        <w:t>本年增加昌州财社[2022]76号自治区彩票公益金资助80岁以上老年人基本生活津贴及免费体检经费。与年初预算相比,年初预算数0.00万元，决算数0.34万元，预决算差异率1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0.00%，主要原因是：年中追加昌州财社[2022]76号自治区彩票公益金资助80岁以上老年人基本生活津贴及免费体检经费。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政府性基金预算财政拨款支出0.34万元。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0.34万元，比上年决算增加0.34万元，增长100%，主要原因是：本年增加昌州财社[2022]76号自治区彩票公益金资助80岁以上老年人基本生活津贴及免费体检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2023年度木垒哈萨克自治县雀仁乡卫生院（事业单位）公用经费支出0.00万元，比上年增加0.00万元，增长0.00%，主要原因是：本年无此项经费。</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截至2023年12月31日，固定资产原值272.68万元，房屋385.0</w:t>
      </w:r>
      <w:r>
        <w:rPr>
          <w:rFonts w:ascii="仿宋_GB2312" w:eastAsia="仿宋_GB2312"/>
          <w:sz w:val="32"/>
          <w:szCs w:val="32"/>
        </w:rPr>
        <w:t>0</w:t>
      </w:r>
      <w:r>
        <w:rPr>
          <w:rFonts w:hint="eastAsia" w:ascii="仿宋_GB2312" w:eastAsia="仿宋_GB2312"/>
          <w:sz w:val="32"/>
          <w:szCs w:val="32"/>
        </w:rPr>
        <w:t>平方米，价值27.05万元。车辆3辆，价值63.20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393.54</w:t>
      </w:r>
      <w:r>
        <w:rPr>
          <w:rFonts w:hint="eastAsia" w:ascii="仿宋_GB2312" w:eastAsia="仿宋_GB2312"/>
          <w:sz w:val="32"/>
          <w:szCs w:val="32"/>
        </w:rPr>
        <w:t>万元，实际执行总额</w:t>
      </w:r>
      <w:r>
        <w:rPr>
          <w:rFonts w:ascii="仿宋_GB2312" w:eastAsia="仿宋_GB2312"/>
          <w:sz w:val="32"/>
          <w:szCs w:val="32"/>
        </w:rPr>
        <w:t>393.54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4</w:t>
      </w:r>
      <w:r>
        <w:rPr>
          <w:rFonts w:hint="eastAsia" w:ascii="仿宋_GB2312" w:eastAsia="仿宋_GB2312"/>
          <w:sz w:val="32"/>
          <w:szCs w:val="32"/>
        </w:rPr>
        <w:t>个，全年预算数</w:t>
      </w:r>
      <w:r>
        <w:rPr>
          <w:rFonts w:ascii="仿宋_GB2312" w:eastAsia="仿宋_GB2312"/>
          <w:sz w:val="32"/>
          <w:szCs w:val="32"/>
        </w:rPr>
        <w:t>72.15</w:t>
      </w:r>
      <w:r>
        <w:rPr>
          <w:rFonts w:hint="eastAsia" w:ascii="仿宋_GB2312" w:eastAsia="仿宋_GB2312"/>
          <w:sz w:val="32"/>
          <w:szCs w:val="32"/>
        </w:rPr>
        <w:t>万元，全年执行数</w:t>
      </w:r>
      <w:r>
        <w:rPr>
          <w:rFonts w:ascii="仿宋_GB2312" w:eastAsia="仿宋_GB2312"/>
          <w:sz w:val="32"/>
          <w:szCs w:val="32"/>
        </w:rPr>
        <w:t>72.15</w:t>
      </w:r>
      <w:r>
        <w:rPr>
          <w:rFonts w:hint="eastAsia" w:ascii="仿宋_GB2312" w:eastAsia="仿宋_GB2312"/>
          <w:sz w:val="32"/>
          <w:szCs w:val="32"/>
        </w:rPr>
        <w:t>万元。预算绩效管理取得的成效：一是服务对象满意度指标有待进一步提升，提升对医护人员的职业道德教育，完善内部监察和社会监察制度；二是促进统筹规划和综合协调，提升人居环境质量,提升群众人居环境。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068"/>
        <w:gridCol w:w="1134"/>
        <w:gridCol w:w="992"/>
        <w:gridCol w:w="1134"/>
        <w:gridCol w:w="1134"/>
        <w:gridCol w:w="851"/>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342"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072"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342"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68"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236.51</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236.51</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342"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94"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878"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34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194"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90%，完成全民体检人数3007人，0-6岁儿童体检人数232人以上。提高公共卫生服务质量和水平，推进服务均等化、普惠化、便捷化和卫生健康公共资源向基层延伸。</w:t>
            </w:r>
          </w:p>
        </w:tc>
        <w:tc>
          <w:tcPr>
            <w:tcW w:w="3878"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卫生院已向辖区内居民提供14项基本公共卫生服务。组织了各村村医进行业务培训，实现电子健康档案建档率85%以上，孕产妇建卡率达到90%，完成全民体检人数3007人，0-6岁儿童体检人数232人以上。提高了公共卫生服务质量和水平，推进了服务均等化、普惠化、便捷化和卫生健康公共资源向基层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34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06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6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&gt;=16人</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vMerge w:val="continue"/>
            <w:vAlign w:val="center"/>
          </w:tcPr>
          <w:p>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&gt;=3007人</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3007人</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vMerge w:val="continue"/>
            <w:vAlign w:val="center"/>
          </w:tcPr>
          <w:p>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&gt;=232人</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232人</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vMerge w:val="continue"/>
            <w:vAlign w:val="center"/>
          </w:tcPr>
          <w:p>
            <w:pPr>
              <w:widowControl/>
              <w:jc w:val="left"/>
              <w:rPr>
                <w:rFonts w:hint="eastAsia" w:cs="宋体" w:asciiTheme="minorEastAsia" w:hAnsiTheme="minorEastAsia" w:eastAsiaTheme="minorEastAsia"/>
                <w:kern w:val="0"/>
                <w:sz w:val="20"/>
                <w:szCs w:val="20"/>
              </w:rPr>
            </w:pPr>
          </w:p>
        </w:tc>
        <w:tc>
          <w:tcPr>
            <w:tcW w:w="106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vMerge w:val="continue"/>
            <w:vAlign w:val="center"/>
          </w:tcPr>
          <w:p>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7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34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68"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500"/>
        <w:gridCol w:w="881"/>
        <w:gridCol w:w="1211"/>
        <w:gridCol w:w="1424"/>
        <w:gridCol w:w="1363"/>
        <w:gridCol w:w="756"/>
        <w:gridCol w:w="916"/>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1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3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0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04" w:type="dxa"/>
            <w:gridSpan w:val="2"/>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04" w:type="dxa"/>
            <w:gridSpan w:val="2"/>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04" w:type="dxa"/>
            <w:gridSpan w:val="2"/>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2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1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401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45号《关于提前下达2023年中央财政基本药物制度补助资金预算的通知》，雀仁乡卫生院使用基本药物制度补助资金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7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完成基层医疗卫生机构基本药物品种60种，村卫生室基本药物品种123种。项目实施后，提高了群众获得基本药物的可及性，保证了群众的基本用药需求；维护了群众的基本医疗卫生权益，促进社会公平正义，促进了合理用药，减轻了群众负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6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5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vMerge w:val="continue"/>
            <w:vAlign w:val="center"/>
          </w:tcPr>
          <w:p>
            <w:pPr>
              <w:widowControl/>
              <w:jc w:val="left"/>
              <w:rPr>
                <w:rFonts w:hint="eastAsia" w:ascii="宋体" w:hAnsi="宋体" w:cs="宋体"/>
                <w:color w:val="000000"/>
                <w:kern w:val="0"/>
                <w:sz w:val="20"/>
                <w:szCs w:val="20"/>
              </w:rPr>
            </w:pPr>
          </w:p>
        </w:tc>
        <w:tc>
          <w:tcPr>
            <w:tcW w:w="1211" w:type="dxa"/>
            <w:vMerge w:val="continue"/>
            <w:vAlign w:val="center"/>
          </w:tcPr>
          <w:p>
            <w:pPr>
              <w:widowControl/>
              <w:jc w:val="left"/>
              <w:rPr>
                <w:rFonts w:hint="eastAsia" w:ascii="宋体" w:hAnsi="宋体" w:cs="宋体"/>
                <w:color w:val="000000"/>
                <w:kern w:val="0"/>
                <w:sz w:val="20"/>
                <w:szCs w:val="20"/>
              </w:rPr>
            </w:pPr>
          </w:p>
        </w:tc>
        <w:tc>
          <w:tcPr>
            <w:tcW w:w="1424" w:type="dxa"/>
            <w:vMerge w:val="continue"/>
            <w:vAlign w:val="center"/>
          </w:tcPr>
          <w:p>
            <w:pPr>
              <w:widowControl/>
              <w:jc w:val="left"/>
              <w:rPr>
                <w:rFonts w:hint="eastAsia" w:ascii="宋体" w:hAnsi="宋体" w:cs="宋体"/>
                <w:color w:val="000000"/>
                <w:kern w:val="0"/>
                <w:sz w:val="20"/>
                <w:szCs w:val="20"/>
              </w:rPr>
            </w:pPr>
          </w:p>
        </w:tc>
        <w:tc>
          <w:tcPr>
            <w:tcW w:w="1363" w:type="dxa"/>
            <w:vMerge w:val="continue"/>
            <w:vAlign w:val="center"/>
          </w:tcPr>
          <w:p>
            <w:pPr>
              <w:widowControl/>
              <w:jc w:val="left"/>
              <w:rPr>
                <w:rFonts w:hint="eastAsia" w:ascii="宋体" w:hAnsi="宋体" w:cs="宋体"/>
                <w:color w:val="000000"/>
                <w:kern w:val="0"/>
                <w:sz w:val="20"/>
                <w:szCs w:val="20"/>
              </w:rPr>
            </w:pPr>
          </w:p>
        </w:tc>
        <w:tc>
          <w:tcPr>
            <w:tcW w:w="75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5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vMerge w:val="continue"/>
            <w:vAlign w:val="center"/>
          </w:tcPr>
          <w:p>
            <w:pPr>
              <w:widowControl/>
              <w:jc w:val="left"/>
              <w:rPr>
                <w:rFonts w:hint="eastAsia" w:ascii="宋体" w:hAnsi="宋体" w:cs="宋体"/>
                <w:color w:val="000000"/>
                <w:kern w:val="0"/>
                <w:sz w:val="20"/>
                <w:szCs w:val="20"/>
              </w:rPr>
            </w:pP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04" w:type="dxa"/>
            <w:vMerge w:val="continue"/>
            <w:vAlign w:val="center"/>
          </w:tcPr>
          <w:p>
            <w:pPr>
              <w:widowControl/>
              <w:jc w:val="left"/>
              <w:rPr>
                <w:rFonts w:hint="eastAsia" w:ascii="宋体" w:hAnsi="宋体" w:cs="宋体"/>
                <w:color w:val="000000"/>
                <w:kern w:val="0"/>
                <w:sz w:val="20"/>
                <w:szCs w:val="20"/>
              </w:rPr>
            </w:pPr>
          </w:p>
        </w:tc>
        <w:tc>
          <w:tcPr>
            <w:tcW w:w="5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8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912"/>
        <w:gridCol w:w="226"/>
        <w:gridCol w:w="1134"/>
        <w:gridCol w:w="425"/>
        <w:gridCol w:w="938"/>
        <w:gridCol w:w="1026"/>
        <w:gridCol w:w="701"/>
        <w:gridCol w:w="916"/>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3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2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3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91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6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2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5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4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05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雀仁乡卫生院使用基本药物制度补助资金27.4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94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938" w:type="dxa"/>
            <w:vMerge w:val="continue"/>
            <w:vAlign w:val="center"/>
          </w:tcPr>
          <w:p>
            <w:pPr>
              <w:widowControl/>
              <w:jc w:val="left"/>
              <w:rPr>
                <w:rFonts w:hint="eastAsia" w:ascii="宋体" w:hAnsi="宋体" w:cs="宋体"/>
                <w:color w:val="000000"/>
                <w:kern w:val="0"/>
                <w:sz w:val="20"/>
                <w:szCs w:val="20"/>
              </w:rPr>
            </w:pPr>
          </w:p>
        </w:tc>
        <w:tc>
          <w:tcPr>
            <w:tcW w:w="1026" w:type="dxa"/>
            <w:vMerge w:val="continue"/>
            <w:vAlign w:val="center"/>
          </w:tcPr>
          <w:p>
            <w:pPr>
              <w:widowControl/>
              <w:jc w:val="left"/>
              <w:rPr>
                <w:rFonts w:hint="eastAsia" w:ascii="宋体" w:hAnsi="宋体" w:cs="宋体"/>
                <w:color w:val="000000"/>
                <w:kern w:val="0"/>
                <w:sz w:val="20"/>
                <w:szCs w:val="20"/>
              </w:rPr>
            </w:pPr>
          </w:p>
        </w:tc>
        <w:tc>
          <w:tcPr>
            <w:tcW w:w="701"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30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494"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275"/>
        <w:gridCol w:w="1560"/>
        <w:gridCol w:w="708"/>
        <w:gridCol w:w="993"/>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3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5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4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55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雀仁乡卫生院使用全民体检补助资金13.0946万元，实施居民免费健康体检活动，扎实推进医疗惠民工程，进一步提高基层公共卫生服务能力，保障群众身心健康。"</w:t>
            </w:r>
          </w:p>
        </w:tc>
        <w:tc>
          <w:tcPr>
            <w:tcW w:w="444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全民健康体检体检项目10项，全民健康体检人数2989人，实施居民免费健康体检活动，扎实推进了医疗惠民工程，进一步提高了基层公共卫生服务能力，保障了群众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1560" w:type="dxa"/>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18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992"/>
        <w:gridCol w:w="1234"/>
        <w:gridCol w:w="1460"/>
        <w:gridCol w:w="708"/>
        <w:gridCol w:w="993"/>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3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6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5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4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65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雀仁乡卫生院使用重大传染病防控经费1.3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434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234" w:type="dxa"/>
            <w:vMerge w:val="continue"/>
            <w:vAlign w:val="center"/>
          </w:tcPr>
          <w:p>
            <w:pPr>
              <w:widowControl/>
              <w:jc w:val="left"/>
              <w:rPr>
                <w:rFonts w:hint="eastAsia" w:ascii="宋体" w:hAnsi="宋体" w:cs="宋体"/>
                <w:color w:val="000000"/>
                <w:kern w:val="0"/>
                <w:sz w:val="20"/>
                <w:szCs w:val="20"/>
              </w:rPr>
            </w:pPr>
          </w:p>
        </w:tc>
        <w:tc>
          <w:tcPr>
            <w:tcW w:w="1460" w:type="dxa"/>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18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=16次</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79.6分</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134"/>
        <w:gridCol w:w="1418"/>
        <w:gridCol w:w="1331"/>
        <w:gridCol w:w="516"/>
        <w:gridCol w:w="916"/>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昌州财社【2022】51号-中央基本公共卫生服务项目补助资金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7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5.9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1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3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5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1331"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25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2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134"/>
        <w:gridCol w:w="1418"/>
        <w:gridCol w:w="1275"/>
        <w:gridCol w:w="709"/>
        <w:gridCol w:w="85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7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01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851" w:type="dxa"/>
            <w:vMerge w:val="continue"/>
            <w:vAlign w:val="center"/>
          </w:tcPr>
          <w:p>
            <w:pPr>
              <w:widowControl/>
              <w:jc w:val="left"/>
              <w:rPr>
                <w:rFonts w:hint="eastAsia" w:ascii="宋体" w:hAnsi="宋体" w:cs="宋体"/>
                <w:color w:val="000000"/>
                <w:kern w:val="0"/>
                <w:sz w:val="20"/>
                <w:szCs w:val="20"/>
              </w:rPr>
            </w:pPr>
          </w:p>
        </w:tc>
        <w:tc>
          <w:tcPr>
            <w:tcW w:w="118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451"/>
        <w:gridCol w:w="896"/>
        <w:gridCol w:w="1210"/>
        <w:gridCol w:w="1312"/>
        <w:gridCol w:w="1305"/>
        <w:gridCol w:w="785"/>
        <w:gridCol w:w="9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1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4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47" w:type="dxa"/>
            <w:gridSpan w:val="2"/>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47" w:type="dxa"/>
            <w:gridSpan w:val="2"/>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47" w:type="dxa"/>
            <w:gridSpan w:val="2"/>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1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6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4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386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4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8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vMerge w:val="continue"/>
            <w:vAlign w:val="center"/>
          </w:tcPr>
          <w:p>
            <w:pPr>
              <w:widowControl/>
              <w:jc w:val="left"/>
              <w:rPr>
                <w:rFonts w:hint="eastAsia" w:ascii="宋体" w:hAnsi="宋体" w:cs="宋体"/>
                <w:color w:val="000000"/>
                <w:kern w:val="0"/>
                <w:sz w:val="20"/>
                <w:szCs w:val="20"/>
              </w:rPr>
            </w:pPr>
          </w:p>
        </w:tc>
        <w:tc>
          <w:tcPr>
            <w:tcW w:w="1210" w:type="dxa"/>
            <w:vMerge w:val="continue"/>
            <w:vAlign w:val="center"/>
          </w:tcPr>
          <w:p>
            <w:pPr>
              <w:widowControl/>
              <w:jc w:val="left"/>
              <w:rPr>
                <w:rFonts w:hint="eastAsia" w:ascii="宋体" w:hAnsi="宋体" w:cs="宋体"/>
                <w:color w:val="000000"/>
                <w:kern w:val="0"/>
                <w:sz w:val="20"/>
                <w:szCs w:val="20"/>
              </w:rPr>
            </w:pPr>
          </w:p>
        </w:tc>
        <w:tc>
          <w:tcPr>
            <w:tcW w:w="1312" w:type="dxa"/>
            <w:vMerge w:val="continue"/>
            <w:vAlign w:val="center"/>
          </w:tcPr>
          <w:p>
            <w:pPr>
              <w:widowControl/>
              <w:jc w:val="left"/>
              <w:rPr>
                <w:rFonts w:hint="eastAsia" w:ascii="宋体" w:hAnsi="宋体" w:cs="宋体"/>
                <w:color w:val="000000"/>
                <w:kern w:val="0"/>
                <w:sz w:val="20"/>
                <w:szCs w:val="20"/>
              </w:rPr>
            </w:pPr>
          </w:p>
        </w:tc>
        <w:tc>
          <w:tcPr>
            <w:tcW w:w="1305" w:type="dxa"/>
            <w:vMerge w:val="continue"/>
            <w:vAlign w:val="center"/>
          </w:tcPr>
          <w:p>
            <w:pPr>
              <w:widowControl/>
              <w:jc w:val="left"/>
              <w:rPr>
                <w:rFonts w:hint="eastAsia" w:ascii="宋体" w:hAnsi="宋体" w:cs="宋体"/>
                <w:color w:val="000000"/>
                <w:kern w:val="0"/>
                <w:sz w:val="20"/>
                <w:szCs w:val="20"/>
              </w:rPr>
            </w:pPr>
          </w:p>
        </w:tc>
        <w:tc>
          <w:tcPr>
            <w:tcW w:w="785"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vMerge w:val="continue"/>
            <w:vAlign w:val="center"/>
          </w:tcPr>
          <w:p>
            <w:pPr>
              <w:widowControl/>
              <w:jc w:val="left"/>
              <w:rPr>
                <w:rFonts w:hint="eastAsia" w:ascii="宋体" w:hAnsi="宋体" w:cs="宋体"/>
                <w:color w:val="000000"/>
                <w:kern w:val="0"/>
                <w:sz w:val="20"/>
                <w:szCs w:val="20"/>
              </w:rPr>
            </w:pP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96" w:type="dxa"/>
            <w:vMerge w:val="continue"/>
            <w:vAlign w:val="center"/>
          </w:tcPr>
          <w:p>
            <w:pPr>
              <w:widowControl/>
              <w:jc w:val="left"/>
              <w:rPr>
                <w:rFonts w:hint="eastAsia" w:ascii="宋体" w:hAnsi="宋体" w:cs="宋体"/>
                <w:color w:val="000000"/>
                <w:kern w:val="0"/>
                <w:sz w:val="20"/>
                <w:szCs w:val="20"/>
              </w:rPr>
            </w:pPr>
          </w:p>
        </w:tc>
        <w:tc>
          <w:tcPr>
            <w:tcW w:w="4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513"/>
        <w:gridCol w:w="980"/>
        <w:gridCol w:w="1256"/>
        <w:gridCol w:w="1261"/>
        <w:gridCol w:w="1083"/>
        <w:gridCol w:w="528"/>
        <w:gridCol w:w="922"/>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6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9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14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47" w:type="dxa"/>
            <w:gridSpan w:val="2"/>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47" w:type="dxa"/>
            <w:gridSpan w:val="2"/>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47" w:type="dxa"/>
            <w:gridSpan w:val="2"/>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5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8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1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7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401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雀仁乡卫生院使用基本药物制度补助资金1.83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7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80岁以上老年人健康体检人数50人。实施基本公共卫生服务，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5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8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vMerge w:val="continue"/>
            <w:vAlign w:val="center"/>
          </w:tcPr>
          <w:p>
            <w:pPr>
              <w:widowControl/>
              <w:jc w:val="left"/>
              <w:rPr>
                <w:rFonts w:hint="eastAsia" w:ascii="宋体" w:hAnsi="宋体" w:cs="宋体"/>
                <w:color w:val="000000"/>
                <w:kern w:val="0"/>
                <w:sz w:val="20"/>
                <w:szCs w:val="20"/>
              </w:rPr>
            </w:pPr>
          </w:p>
        </w:tc>
        <w:tc>
          <w:tcPr>
            <w:tcW w:w="1256" w:type="dxa"/>
            <w:vMerge w:val="continue"/>
            <w:vAlign w:val="center"/>
          </w:tcPr>
          <w:p>
            <w:pPr>
              <w:widowControl/>
              <w:jc w:val="left"/>
              <w:rPr>
                <w:rFonts w:hint="eastAsia" w:ascii="宋体" w:hAnsi="宋体" w:cs="宋体"/>
                <w:color w:val="000000"/>
                <w:kern w:val="0"/>
                <w:sz w:val="20"/>
                <w:szCs w:val="20"/>
              </w:rPr>
            </w:pPr>
          </w:p>
        </w:tc>
        <w:tc>
          <w:tcPr>
            <w:tcW w:w="1261" w:type="dxa"/>
            <w:vMerge w:val="continue"/>
            <w:vAlign w:val="center"/>
          </w:tcPr>
          <w:p>
            <w:pPr>
              <w:widowControl/>
              <w:jc w:val="left"/>
              <w:rPr>
                <w:rFonts w:hint="eastAsia" w:ascii="宋体" w:hAnsi="宋体" w:cs="宋体"/>
                <w:color w:val="000000"/>
                <w:kern w:val="0"/>
                <w:sz w:val="20"/>
                <w:szCs w:val="20"/>
              </w:rPr>
            </w:pPr>
          </w:p>
        </w:tc>
        <w:tc>
          <w:tcPr>
            <w:tcW w:w="1083" w:type="dxa"/>
            <w:vMerge w:val="continue"/>
            <w:vAlign w:val="center"/>
          </w:tcPr>
          <w:p>
            <w:pPr>
              <w:widowControl/>
              <w:jc w:val="left"/>
              <w:rPr>
                <w:rFonts w:hint="eastAsia" w:ascii="宋体" w:hAnsi="宋体" w:cs="宋体"/>
                <w:color w:val="000000"/>
                <w:kern w:val="0"/>
                <w:sz w:val="20"/>
                <w:szCs w:val="20"/>
              </w:rPr>
            </w:pPr>
          </w:p>
        </w:tc>
        <w:tc>
          <w:tcPr>
            <w:tcW w:w="528" w:type="dxa"/>
            <w:vMerge w:val="continue"/>
            <w:vAlign w:val="center"/>
          </w:tcPr>
          <w:p>
            <w:pPr>
              <w:widowControl/>
              <w:jc w:val="left"/>
              <w:rPr>
                <w:rFonts w:hint="eastAsia" w:ascii="宋体" w:hAnsi="宋体" w:cs="宋体"/>
                <w:color w:val="000000"/>
                <w:kern w:val="0"/>
                <w:sz w:val="20"/>
                <w:szCs w:val="20"/>
              </w:rPr>
            </w:pPr>
          </w:p>
        </w:tc>
        <w:tc>
          <w:tcPr>
            <w:tcW w:w="922" w:type="dxa"/>
            <w:vMerge w:val="continue"/>
            <w:vAlign w:val="center"/>
          </w:tcPr>
          <w:p>
            <w:pPr>
              <w:widowControl/>
              <w:jc w:val="left"/>
              <w:rPr>
                <w:rFonts w:hint="eastAsia" w:ascii="宋体" w:hAnsi="宋体" w:cs="宋体"/>
                <w:color w:val="000000"/>
                <w:kern w:val="0"/>
                <w:sz w:val="20"/>
                <w:szCs w:val="20"/>
              </w:rPr>
            </w:pPr>
          </w:p>
        </w:tc>
        <w:tc>
          <w:tcPr>
            <w:tcW w:w="1237"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vMerge w:val="continue"/>
            <w:vAlign w:val="center"/>
          </w:tcPr>
          <w:p>
            <w:pPr>
              <w:widowControl/>
              <w:jc w:val="left"/>
              <w:rPr>
                <w:rFonts w:hint="eastAsia" w:ascii="宋体" w:hAnsi="宋体" w:cs="宋体"/>
                <w:color w:val="000000"/>
                <w:kern w:val="0"/>
                <w:sz w:val="20"/>
                <w:szCs w:val="20"/>
              </w:rPr>
            </w:pP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34" w:type="dxa"/>
            <w:vMerge w:val="continue"/>
            <w:vAlign w:val="center"/>
          </w:tcPr>
          <w:p>
            <w:pPr>
              <w:widowControl/>
              <w:jc w:val="left"/>
              <w:rPr>
                <w:rFonts w:hint="eastAsia" w:ascii="宋体" w:hAnsi="宋体" w:cs="宋体"/>
                <w:color w:val="000000"/>
                <w:kern w:val="0"/>
                <w:sz w:val="20"/>
                <w:szCs w:val="20"/>
              </w:rPr>
            </w:pPr>
          </w:p>
        </w:tc>
        <w:tc>
          <w:tcPr>
            <w:tcW w:w="5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收益群众满意度</w:t>
            </w:r>
          </w:p>
        </w:tc>
        <w:tc>
          <w:tcPr>
            <w:tcW w:w="12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2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445"/>
        <w:gridCol w:w="1202"/>
        <w:gridCol w:w="1598"/>
        <w:gridCol w:w="1237"/>
        <w:gridCol w:w="1239"/>
        <w:gridCol w:w="520"/>
        <w:gridCol w:w="916"/>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2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5" w:type="dxa"/>
            <w:gridSpan w:val="2"/>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5" w:type="dxa"/>
            <w:gridSpan w:val="2"/>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5" w:type="dxa"/>
            <w:gridSpan w:val="2"/>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9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8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雀仁乡卫生院使用基本药物制度补助资金0.1641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4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社会公平正义，促进了合理用药，减轻了群众负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3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vMerge w:val="continue"/>
            <w:vAlign w:val="center"/>
          </w:tcPr>
          <w:p>
            <w:pPr>
              <w:widowControl/>
              <w:jc w:val="left"/>
              <w:rPr>
                <w:rFonts w:hint="eastAsia" w:ascii="宋体" w:hAnsi="宋体" w:cs="宋体"/>
                <w:color w:val="000000"/>
                <w:kern w:val="0"/>
                <w:sz w:val="20"/>
                <w:szCs w:val="20"/>
              </w:rPr>
            </w:pPr>
          </w:p>
        </w:tc>
        <w:tc>
          <w:tcPr>
            <w:tcW w:w="1598" w:type="dxa"/>
            <w:vMerge w:val="continue"/>
            <w:vAlign w:val="center"/>
          </w:tcPr>
          <w:p>
            <w:pPr>
              <w:widowControl/>
              <w:jc w:val="left"/>
              <w:rPr>
                <w:rFonts w:hint="eastAsia" w:ascii="宋体" w:hAnsi="宋体" w:cs="宋体"/>
                <w:color w:val="000000"/>
                <w:kern w:val="0"/>
                <w:sz w:val="20"/>
                <w:szCs w:val="20"/>
              </w:rPr>
            </w:pPr>
          </w:p>
        </w:tc>
        <w:tc>
          <w:tcPr>
            <w:tcW w:w="1237" w:type="dxa"/>
            <w:vMerge w:val="continue"/>
            <w:vAlign w:val="center"/>
          </w:tcPr>
          <w:p>
            <w:pPr>
              <w:widowControl/>
              <w:jc w:val="left"/>
              <w:rPr>
                <w:rFonts w:hint="eastAsia" w:ascii="宋体" w:hAnsi="宋体" w:cs="宋体"/>
                <w:color w:val="000000"/>
                <w:kern w:val="0"/>
                <w:sz w:val="20"/>
                <w:szCs w:val="20"/>
              </w:rPr>
            </w:pPr>
          </w:p>
        </w:tc>
        <w:tc>
          <w:tcPr>
            <w:tcW w:w="1239" w:type="dxa"/>
            <w:vMerge w:val="continue"/>
            <w:vAlign w:val="center"/>
          </w:tcPr>
          <w:p>
            <w:pPr>
              <w:widowControl/>
              <w:jc w:val="left"/>
              <w:rPr>
                <w:rFonts w:hint="eastAsia" w:ascii="宋体" w:hAnsi="宋体" w:cs="宋体"/>
                <w:color w:val="000000"/>
                <w:kern w:val="0"/>
                <w:sz w:val="20"/>
                <w:szCs w:val="20"/>
              </w:rPr>
            </w:pPr>
          </w:p>
        </w:tc>
        <w:tc>
          <w:tcPr>
            <w:tcW w:w="520"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77"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&gt;=0.4万人</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9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服务群众对实施基本药物制度满意率</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0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1010"/>
        <w:gridCol w:w="852"/>
        <w:gridCol w:w="1274"/>
        <w:gridCol w:w="1418"/>
        <w:gridCol w:w="709"/>
        <w:gridCol w:w="992"/>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2023年15-64岁体检经费的方案项目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3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4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35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雀仁乡卫生院使用全民体检补助资金9.97万元，实施居民免费健康体检活动，扎实推进医疗惠民工程，进一步提高基层公共卫生服务能力，保障群众身心健康。"</w:t>
            </w:r>
          </w:p>
        </w:tc>
        <w:tc>
          <w:tcPr>
            <w:tcW w:w="444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全民健康体检体检项目10项，全民健康体检人数2989人，实施居民免费健康体检活动，扎实推进了医疗惠民工程，进一步提高了基层公共卫生服务能力，保障了群众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vMerge w:val="continue"/>
            <w:vAlign w:val="center"/>
          </w:tcPr>
          <w:p>
            <w:pPr>
              <w:widowControl/>
              <w:jc w:val="left"/>
              <w:rPr>
                <w:rFonts w:hint="eastAsia" w:ascii="宋体" w:hAnsi="宋体" w:cs="宋体"/>
                <w:color w:val="000000"/>
                <w:kern w:val="0"/>
                <w:sz w:val="20"/>
                <w:szCs w:val="20"/>
              </w:rPr>
            </w:pPr>
          </w:p>
        </w:tc>
        <w:tc>
          <w:tcPr>
            <w:tcW w:w="852" w:type="dxa"/>
            <w:vMerge w:val="continue"/>
            <w:vAlign w:val="center"/>
          </w:tcPr>
          <w:p>
            <w:pPr>
              <w:widowControl/>
              <w:jc w:val="left"/>
              <w:rPr>
                <w:rFonts w:hint="eastAsia" w:ascii="宋体" w:hAnsi="宋体" w:cs="宋体"/>
                <w:color w:val="000000"/>
                <w:kern w:val="0"/>
                <w:sz w:val="20"/>
                <w:szCs w:val="20"/>
              </w:rPr>
            </w:pPr>
          </w:p>
        </w:tc>
        <w:tc>
          <w:tcPr>
            <w:tcW w:w="1274"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32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38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3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418"/>
        <w:gridCol w:w="1361"/>
        <w:gridCol w:w="1474"/>
        <w:gridCol w:w="709"/>
        <w:gridCol w:w="7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7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6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3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06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雀仁乡卫生院使用重大传染病防控经费0.34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3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6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7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1361" w:type="dxa"/>
            <w:vMerge w:val="continue"/>
            <w:vAlign w:val="center"/>
          </w:tcPr>
          <w:p>
            <w:pPr>
              <w:widowControl/>
              <w:jc w:val="left"/>
              <w:rPr>
                <w:rFonts w:hint="eastAsia" w:ascii="宋体" w:hAnsi="宋体" w:cs="宋体"/>
                <w:color w:val="000000"/>
                <w:kern w:val="0"/>
                <w:sz w:val="20"/>
                <w:szCs w:val="20"/>
              </w:rPr>
            </w:pPr>
          </w:p>
        </w:tc>
        <w:tc>
          <w:tcPr>
            <w:tcW w:w="1474"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=16次</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79.6分</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358"/>
        <w:gridCol w:w="1220"/>
        <w:gridCol w:w="822"/>
        <w:gridCol w:w="916"/>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2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4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6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63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46号《关于提前下达2023年中央财政基本公共卫生服务补助资金预算的通知》，雀仁乡卫生院使用基本药物制度补助资金0.47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6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358" w:type="dxa"/>
            <w:vMerge w:val="continue"/>
            <w:vAlign w:val="center"/>
          </w:tcPr>
          <w:p>
            <w:pPr>
              <w:widowControl/>
              <w:jc w:val="left"/>
              <w:rPr>
                <w:rFonts w:hint="eastAsia" w:ascii="宋体" w:hAnsi="宋体" w:cs="宋体"/>
                <w:color w:val="000000"/>
                <w:kern w:val="0"/>
                <w:sz w:val="20"/>
                <w:szCs w:val="20"/>
              </w:rPr>
            </w:pPr>
          </w:p>
        </w:tc>
        <w:tc>
          <w:tcPr>
            <w:tcW w:w="1220" w:type="dxa"/>
            <w:vMerge w:val="continue"/>
            <w:vAlign w:val="center"/>
          </w:tcPr>
          <w:p>
            <w:pPr>
              <w:widowControl/>
              <w:jc w:val="left"/>
              <w:rPr>
                <w:rFonts w:hint="eastAsia" w:ascii="宋体" w:hAnsi="宋体" w:cs="宋体"/>
                <w:color w:val="000000"/>
                <w:kern w:val="0"/>
                <w:sz w:val="20"/>
                <w:szCs w:val="20"/>
              </w:rPr>
            </w:pPr>
          </w:p>
        </w:tc>
        <w:tc>
          <w:tcPr>
            <w:tcW w:w="822"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40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27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276"/>
        <w:gridCol w:w="1289"/>
        <w:gridCol w:w="1263"/>
        <w:gridCol w:w="850"/>
        <w:gridCol w:w="99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3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8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5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14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85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148"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8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6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289" w:type="dxa"/>
            <w:vMerge w:val="continue"/>
            <w:vAlign w:val="center"/>
          </w:tcPr>
          <w:p>
            <w:pPr>
              <w:widowControl/>
              <w:jc w:val="left"/>
              <w:rPr>
                <w:rFonts w:hint="eastAsia" w:ascii="宋体" w:hAnsi="宋体" w:cs="宋体"/>
                <w:color w:val="000000"/>
                <w:kern w:val="0"/>
                <w:sz w:val="20"/>
                <w:szCs w:val="20"/>
              </w:rPr>
            </w:pPr>
          </w:p>
        </w:tc>
        <w:tc>
          <w:tcPr>
            <w:tcW w:w="1263"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355"/>
        <w:gridCol w:w="1614"/>
        <w:gridCol w:w="692"/>
        <w:gridCol w:w="916"/>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1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1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3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6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63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雀仁乡卫生院使用80岁老年人健康体检补助资金0.3378万元，实施老年人免费健康体检活动，扎实推进医疗惠民工程，进一步提高基层公共卫生服务能力，保障老年人身心健康。</w:t>
            </w:r>
          </w:p>
        </w:tc>
        <w:tc>
          <w:tcPr>
            <w:tcW w:w="436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开展全民健康体检人数2989人，全民健康体检项目10项。实施老年人免费健康体检活动，扎实推进了医疗惠民工程，进一步提高了基层公共卫生服务能力，保障了老年人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6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355" w:type="dxa"/>
            <w:vMerge w:val="continue"/>
            <w:vAlign w:val="center"/>
          </w:tcPr>
          <w:p>
            <w:pPr>
              <w:widowControl/>
              <w:jc w:val="left"/>
              <w:rPr>
                <w:rFonts w:hint="eastAsia" w:ascii="宋体" w:hAnsi="宋体" w:cs="宋体"/>
                <w:color w:val="000000"/>
                <w:kern w:val="0"/>
                <w:sz w:val="20"/>
                <w:szCs w:val="20"/>
              </w:rPr>
            </w:pPr>
          </w:p>
        </w:tc>
        <w:tc>
          <w:tcPr>
            <w:tcW w:w="1614" w:type="dxa"/>
            <w:vMerge w:val="continue"/>
            <w:vAlign w:val="center"/>
          </w:tcPr>
          <w:p>
            <w:pPr>
              <w:widowControl/>
              <w:jc w:val="left"/>
              <w:rPr>
                <w:rFonts w:hint="eastAsia" w:ascii="宋体" w:hAnsi="宋体" w:cs="宋体"/>
                <w:color w:val="000000"/>
                <w:kern w:val="0"/>
                <w:sz w:val="20"/>
                <w:szCs w:val="20"/>
              </w:rPr>
            </w:pPr>
          </w:p>
        </w:tc>
        <w:tc>
          <w:tcPr>
            <w:tcW w:w="692"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1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&gt;=54人</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6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6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85.7分</w:t>
            </w:r>
          </w:p>
        </w:tc>
        <w:tc>
          <w:tcPr>
            <w:tcW w:w="11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pPr>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726D0"/>
    <w:rsid w:val="001807A3"/>
    <w:rsid w:val="00213C59"/>
    <w:rsid w:val="00277918"/>
    <w:rsid w:val="003210CE"/>
    <w:rsid w:val="0038449F"/>
    <w:rsid w:val="006726D0"/>
    <w:rsid w:val="006A5DDA"/>
    <w:rsid w:val="00780CA7"/>
    <w:rsid w:val="007B0D4D"/>
    <w:rsid w:val="007C5EF1"/>
    <w:rsid w:val="0085151E"/>
    <w:rsid w:val="00972900"/>
    <w:rsid w:val="009747AC"/>
    <w:rsid w:val="00993564"/>
    <w:rsid w:val="009D44E4"/>
    <w:rsid w:val="00AA50AE"/>
    <w:rsid w:val="00B70D59"/>
    <w:rsid w:val="00DC43C6"/>
    <w:rsid w:val="00DE1463"/>
    <w:rsid w:val="00E253D6"/>
    <w:rsid w:val="00EE122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467C7D"/>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4009</Words>
  <Characters>22855</Characters>
  <Lines>190</Lines>
  <Paragraphs>53</Paragraphs>
  <TotalTime>70</TotalTime>
  <ScaleCrop>false</ScaleCrop>
  <LinksUpToDate>false</LinksUpToDate>
  <CharactersWithSpaces>26811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2024-09-29T11:38:17Z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